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36"/>
          <w:u w:val="single"/>
        </w:rPr>
      </w:pPr>
      <w:r>
        <w:rPr>
          <w:rFonts w:ascii="Times New Roman" w:hAnsi="Times New Roman"/>
          <w:b w:val="1"/>
          <w:sz w:val="36"/>
          <w:u w:val="single"/>
        </w:rPr>
        <w:t>Раунд №</w:t>
      </w:r>
      <w:r>
        <w:rPr>
          <w:rFonts w:ascii="Times New Roman" w:hAnsi="Times New Roman"/>
          <w:b w:val="1"/>
          <w:sz w:val="36"/>
          <w:u w:val="single"/>
        </w:rPr>
        <w:t xml:space="preserve"> </w:t>
      </w:r>
      <w:r>
        <w:rPr>
          <w:rFonts w:ascii="Times New Roman" w:hAnsi="Times New Roman"/>
          <w:b w:val="1"/>
          <w:sz w:val="36"/>
          <w:u w:val="single"/>
        </w:rPr>
        <w:t>6</w:t>
      </w:r>
      <w:bookmarkStart w:id="1" w:name="_GoBack"/>
      <w:bookmarkEnd w:id="1"/>
      <w:r>
        <w:rPr>
          <w:rFonts w:ascii="Times New Roman" w:hAnsi="Times New Roman"/>
          <w:b w:val="1"/>
          <w:sz w:val="36"/>
          <w:u w:val="single"/>
        </w:rPr>
        <w:t xml:space="preserve"> «Финансовый консультант»</w:t>
      </w:r>
    </w:p>
    <w:tbl>
      <w:tblPr>
        <w:tblStyle w:val="Style_1"/>
        <w:tblW w:type="auto" w:w="0"/>
        <w:tblInd w:type="dxa" w:w="-885"/>
        <w:tblLayout w:type="fixed"/>
      </w:tblPr>
      <w:tblGrid>
        <w:gridCol w:w="10491"/>
      </w:tblGrid>
      <w:tr>
        <w:tc>
          <w:tcPr>
            <w:tcW w:type="dxa" w:w="10491"/>
          </w:tcPr>
          <w:p w14:paraId="0200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ПАО «Зима»</w:t>
            </w:r>
          </w:p>
          <w:p w14:paraId="03000000">
            <w:pPr>
              <w:spacing w:after="200"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drawing>
                <wp:anchor allowOverlap="true" behindDoc="false" distB="0" distL="114300" distR="114300" distT="0" layoutInCell="true" locked="false" relativeHeight="251658240" simplePos="false">
                  <wp:simplePos x="0" y="0"/>
                  <wp:positionH relativeFrom="column">
                    <wp:posOffset>4140200</wp:posOffset>
                  </wp:positionH>
                  <wp:positionV relativeFrom="paragraph">
                    <wp:posOffset>617855</wp:posOffset>
                  </wp:positionV>
                  <wp:extent cx="2289175" cy="2114550"/>
                  <wp:effectExtent b="0" l="0" r="0" t="0"/>
                  <wp:wrapSquare distB="0" distL="114300" distR="114300" distT="0" wrapText="bothSides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6584" l="0" r="0" t="0"/>
                          <a:stretch/>
                        </pic:blipFill>
                        <pic:spPr>
                          <a:xfrm flipH="false" flipV="false" rot="0">
                            <a:ext cx="2289175" cy="21145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8"/>
              </w:rPr>
              <w:t>Дочерняя организация банка Государственный. Планирует создать крупный розничный финансовый институт более чем с тысячей клиентских центров в различных регионах РФ. Банк специализируется на экспресс-кредитовании, выдаче кредитов наличными и кредитных картах.</w:t>
            </w:r>
          </w:p>
          <w:p w14:paraId="04000000">
            <w:pPr>
              <w:spacing w:after="200"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Вклад «Капитальный»</w:t>
            </w:r>
          </w:p>
          <w:p w14:paraId="05000000">
            <w:pPr>
              <w:numPr>
                <w:ilvl w:val="0"/>
                <w:numId w:val="1"/>
              </w:numPr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Ставка до 10,25%</w:t>
            </w:r>
          </w:p>
          <w:p w14:paraId="06000000">
            <w:pPr>
              <w:numPr>
                <w:ilvl w:val="0"/>
                <w:numId w:val="1"/>
              </w:numPr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Валюта рубли</w:t>
            </w:r>
          </w:p>
          <w:p w14:paraId="07000000">
            <w:pPr>
              <w:numPr>
                <w:ilvl w:val="0"/>
                <w:numId w:val="1"/>
              </w:numPr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от 3 мес. до 2 лет</w:t>
            </w:r>
          </w:p>
          <w:p w14:paraId="08000000">
            <w:pPr>
              <w:numPr>
                <w:ilvl w:val="0"/>
                <w:numId w:val="1"/>
              </w:numPr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 от 50 000 руб.</w:t>
            </w:r>
          </w:p>
          <w:p w14:paraId="09000000">
            <w:pPr>
              <w:numPr>
                <w:ilvl w:val="0"/>
                <w:numId w:val="1"/>
              </w:numPr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Ежемесячная выплата процентов</w:t>
            </w:r>
          </w:p>
          <w:p w14:paraId="0A000000">
            <w:pPr>
              <w:spacing w:line="276" w:lineRule="auto"/>
              <w:ind w:firstLine="0" w:left="72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0491"/>
          </w:tcPr>
          <w:p w14:paraId="0B000000">
            <w:pPr>
              <w:spacing w:line="276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ПАО «Открывая двери»</w:t>
            </w:r>
          </w:p>
          <w:p w14:paraId="0C000000">
            <w:pPr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Является одним из крупнейших универсальных розничных банков России с широкой региональной сетью и головным офисом в Москве. Банк вошел в топ-15 российских финансово-кредитных организаций и планирует дальнейшее развитие в качестве универсального розничного финансового учреждения.</w:t>
            </w:r>
          </w:p>
          <w:p w14:paraId="0D000000">
            <w:pPr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Вклад «Промо 2015»</w:t>
            </w:r>
          </w:p>
          <w:p w14:paraId="0E000000">
            <w:pPr>
              <w:numPr>
                <w:ilvl w:val="0"/>
                <w:numId w:val="2"/>
              </w:numPr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Ставка до 12,5%</w:t>
            </w:r>
          </w:p>
          <w:p w14:paraId="0F000000">
            <w:pPr>
              <w:numPr>
                <w:ilvl w:val="0"/>
                <w:numId w:val="2"/>
              </w:numPr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Валюта рубли</w:t>
            </w:r>
          </w:p>
          <w:p w14:paraId="10000000">
            <w:pPr>
              <w:numPr>
                <w:ilvl w:val="0"/>
                <w:numId w:val="2"/>
              </w:numPr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1 год</w:t>
            </w:r>
          </w:p>
          <w:p w14:paraId="11000000">
            <w:pPr>
              <w:numPr>
                <w:ilvl w:val="0"/>
                <w:numId w:val="2"/>
              </w:numPr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 от 50 000 руб.</w:t>
            </w:r>
          </w:p>
          <w:p w14:paraId="12000000">
            <w:pPr>
              <w:numPr>
                <w:ilvl w:val="0"/>
                <w:numId w:val="2"/>
              </w:numPr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Выплата процентов в конце срока</w:t>
            </w:r>
          </w:p>
          <w:p w14:paraId="13000000">
            <w:pPr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drawing>
                <wp:anchor allowOverlap="true" behindDoc="false" distB="0" distL="114300" distR="114300" distT="0" layoutInCell="true" locked="false" relativeHeight="251658240" simplePos="false">
                  <wp:simplePos x="0" y="0"/>
                  <wp:positionH relativeFrom="column">
                    <wp:posOffset>4895850</wp:posOffset>
                  </wp:positionH>
                  <wp:positionV relativeFrom="paragraph">
                    <wp:posOffset>-2119630</wp:posOffset>
                  </wp:positionV>
                  <wp:extent cx="1532255" cy="2427605"/>
                  <wp:effectExtent b="0" l="0" r="0" t="0"/>
                  <wp:wrapSquare distB="0" distL="114300" distR="114300" distT="0" wrapText="bothSides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532255" cy="242760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c>
          <w:tcPr>
            <w:tcW w:type="dxa" w:w="10491"/>
          </w:tcPr>
          <w:p w14:paraId="14000000">
            <w:pPr>
              <w:spacing w:line="276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ЗАО «Полюшко»</w:t>
            </w:r>
          </w:p>
          <w:p w14:paraId="15000000">
            <w:pPr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Небольшой по размеру активов московский банк с универсальной моделью бизнеса. Ориентирован на кредитование и обслуживание корпоративных клиентов, операции с ценными бумагами и на валютном рынке, привлечение средств граждан во вклады. Основные ресурсы банка — средства физических и юридических лиц.</w:t>
            </w:r>
          </w:p>
          <w:p w14:paraId="16000000">
            <w:pPr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Вклад «Янтарный»</w:t>
            </w:r>
          </w:p>
          <w:p w14:paraId="17000000">
            <w:pPr>
              <w:numPr>
                <w:ilvl w:val="0"/>
                <w:numId w:val="3"/>
              </w:numPr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Ставка 11,5%</w:t>
            </w:r>
          </w:p>
          <w:p w14:paraId="18000000">
            <w:pPr>
              <w:numPr>
                <w:ilvl w:val="0"/>
                <w:numId w:val="3"/>
              </w:numPr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Валюта РУБ USD EUR</w:t>
            </w:r>
          </w:p>
          <w:p w14:paraId="19000000">
            <w:pPr>
              <w:numPr>
                <w:ilvl w:val="0"/>
                <w:numId w:val="3"/>
              </w:numPr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1 год</w:t>
            </w:r>
          </w:p>
          <w:p w14:paraId="1A000000">
            <w:pPr>
              <w:numPr>
                <w:ilvl w:val="0"/>
                <w:numId w:val="3"/>
              </w:numPr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 от  900 000 руб.</w:t>
            </w:r>
          </w:p>
          <w:p w14:paraId="1B000000">
            <w:pPr>
              <w:numPr>
                <w:ilvl w:val="0"/>
                <w:numId w:val="3"/>
              </w:numPr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drawing>
                <wp:anchor allowOverlap="true" behindDoc="false" distB="0" distL="114300" distR="114300" distT="0" layoutInCell="true" locked="false" relativeHeight="251658240" simplePos="false">
                  <wp:simplePos x="0" y="0"/>
                  <wp:positionH relativeFrom="column">
                    <wp:posOffset>4295775</wp:posOffset>
                  </wp:positionH>
                  <wp:positionV relativeFrom="paragraph">
                    <wp:posOffset>-1474470</wp:posOffset>
                  </wp:positionV>
                  <wp:extent cx="2136775" cy="2077720"/>
                  <wp:effectExtent b="0" l="0" r="0" t="0"/>
                  <wp:wrapSquare distB="0" distL="114300" distR="114300" distT="0" wrapText="bothSides"/>
                  <wp:docPr hidden="false" id="6" name="Picture 6"/>
                  <a:graphic>
                    <a:graphicData uri="http://schemas.openxmlformats.org/drawingml/2006/picture">
                      <pic:pic>
                        <pic:nvPicPr>
                          <pic:cNvPr hidden="false" id="5" name="Picture 5"/>
                          <pic:cNvPicPr preferRelativeResize="true"/>
                        </pic:nvPicPr>
                        <pic:blipFill>
                          <a:blip r:embed="rId3"/>
                          <a:srcRect b="9050" l="0" r="0" t="0"/>
                          <a:stretch/>
                        </pic:blipFill>
                        <pic:spPr>
                          <a:xfrm flipH="false" flipV="false" rot="0">
                            <a:ext cx="2136775" cy="207772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8"/>
              </w:rPr>
              <w:t>Ежемесячная выплата процентов</w:t>
            </w:r>
          </w:p>
          <w:p w14:paraId="1C000000">
            <w:pPr>
              <w:spacing w:line="276" w:lineRule="auto"/>
              <w:ind w:firstLine="0" w:left="72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1D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E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Показатели работы банков</w:t>
      </w:r>
    </w:p>
    <w:tbl>
      <w:tblPr>
        <w:tblStyle w:val="Style_2"/>
        <w:tblW w:type="auto" w:w="0"/>
        <w:tblInd w:type="dxa" w:w="-849"/>
        <w:tblLayout w:type="fixed"/>
        <w:tblCellMar>
          <w:left w:type="dxa" w:w="0"/>
          <w:right w:type="dxa" w:w="0"/>
        </w:tblCellMar>
      </w:tblPr>
      <w:tblGrid>
        <w:gridCol w:w="3828"/>
        <w:gridCol w:w="3402"/>
        <w:gridCol w:w="3261"/>
      </w:tblGrid>
      <w:tr>
        <w:trPr>
          <w:trHeight w:hRule="atLeast" w:val="1200"/>
        </w:trPr>
        <w:tc>
          <w:tcPr>
            <w:tcW w:type="dxa" w:w="3828"/>
            <w:tcBorders>
              <w:top w:color="349737" w:sz="8" w:val="single"/>
              <w:left w:color="349737" w:sz="8" w:val="single"/>
              <w:bottom w:color="349737" w:sz="18" w:val="single"/>
              <w:right w:color="349737" w:sz="8" w:val="single"/>
            </w:tcBorders>
            <w:shd w:fill="auto" w:val="clear"/>
            <w:tcMar>
              <w:top w:type="dxa" w:w="72"/>
              <w:left w:type="dxa" w:w="144"/>
              <w:bottom w:type="dxa" w:w="72"/>
              <w:right w:type="dxa" w:w="144"/>
            </w:tcMar>
          </w:tcPr>
          <w:p w14:paraId="1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«Зима»</w:t>
            </w:r>
          </w:p>
        </w:tc>
        <w:tc>
          <w:tcPr>
            <w:tcW w:type="dxa" w:w="3402"/>
            <w:tcBorders>
              <w:top w:color="349737" w:sz="8" w:val="single"/>
              <w:left w:color="349737" w:sz="8" w:val="single"/>
              <w:bottom w:color="349737" w:sz="18" w:val="single"/>
              <w:right w:color="349737" w:sz="8" w:val="single"/>
            </w:tcBorders>
            <w:shd w:fill="auto" w:val="clear"/>
            <w:tcMar>
              <w:top w:type="dxa" w:w="72"/>
              <w:left w:type="dxa" w:w="144"/>
              <w:bottom w:type="dxa" w:w="72"/>
              <w:right w:type="dxa" w:w="144"/>
            </w:tcMar>
          </w:tcPr>
          <w:p w14:paraId="2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«Открытая дверь»</w:t>
            </w:r>
          </w:p>
        </w:tc>
        <w:tc>
          <w:tcPr>
            <w:tcW w:type="dxa" w:w="3261"/>
            <w:tcBorders>
              <w:top w:color="349737" w:sz="8" w:val="single"/>
              <w:left w:color="349737" w:sz="8" w:val="single"/>
              <w:bottom w:color="349737" w:sz="18" w:val="single"/>
              <w:right w:color="349737" w:sz="8" w:val="single"/>
            </w:tcBorders>
            <w:shd w:fill="auto" w:val="clear"/>
            <w:tcMar>
              <w:top w:type="dxa" w:w="72"/>
              <w:left w:type="dxa" w:w="144"/>
              <w:bottom w:type="dxa" w:w="72"/>
              <w:right w:type="dxa" w:w="144"/>
            </w:tcMar>
          </w:tcPr>
          <w:p w14:paraId="2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«Полюшко»</w:t>
            </w:r>
          </w:p>
        </w:tc>
      </w:tr>
      <w:tr>
        <w:trPr>
          <w:trHeight w:hRule="atLeast" w:val="723"/>
        </w:trPr>
        <w:tc>
          <w:tcPr>
            <w:tcW w:type="dxa" w:w="3828"/>
            <w:tcBorders>
              <w:top w:color="349737" w:sz="18" w:val="single"/>
              <w:left w:color="349737" w:sz="8" w:val="single"/>
              <w:bottom w:color="349737" w:sz="8" w:val="single"/>
              <w:right w:color="349737" w:sz="8" w:val="single"/>
            </w:tcBorders>
            <w:shd w:fill="auto" w:val="clear"/>
            <w:tcMar>
              <w:top w:type="dxa" w:w="72"/>
              <w:left w:type="dxa" w:w="144"/>
              <w:bottom w:type="dxa" w:w="72"/>
              <w:right w:type="dxa" w:w="144"/>
            </w:tcMar>
          </w:tcPr>
          <w:p w14:paraId="2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Лицензия Банка России:        есть</w:t>
            </w:r>
          </w:p>
        </w:tc>
        <w:tc>
          <w:tcPr>
            <w:tcW w:type="dxa" w:w="3402"/>
            <w:tcBorders>
              <w:top w:color="349737" w:sz="18" w:val="single"/>
              <w:left w:color="349737" w:sz="8" w:val="single"/>
              <w:bottom w:color="349737" w:sz="8" w:val="single"/>
              <w:right w:color="349737" w:sz="8" w:val="single"/>
            </w:tcBorders>
            <w:shd w:fill="auto" w:val="clear"/>
            <w:tcMar>
              <w:top w:type="dxa" w:w="72"/>
              <w:left w:type="dxa" w:w="144"/>
              <w:bottom w:type="dxa" w:w="72"/>
              <w:right w:type="dxa" w:w="144"/>
            </w:tcMar>
          </w:tcPr>
          <w:p w14:paraId="2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Лицензия Банка России:  есть</w:t>
            </w:r>
          </w:p>
        </w:tc>
        <w:tc>
          <w:tcPr>
            <w:tcW w:type="dxa" w:w="3261"/>
            <w:tcBorders>
              <w:top w:color="349737" w:sz="18" w:val="single"/>
              <w:left w:color="349737" w:sz="8" w:val="single"/>
              <w:bottom w:color="349737" w:sz="8" w:val="single"/>
              <w:right w:color="349737" w:sz="8" w:val="single"/>
            </w:tcBorders>
            <w:shd w:fill="auto" w:val="clear"/>
            <w:tcMar>
              <w:top w:type="dxa" w:w="72"/>
              <w:left w:type="dxa" w:w="144"/>
              <w:bottom w:type="dxa" w:w="72"/>
              <w:right w:type="dxa" w:w="144"/>
            </w:tcMar>
          </w:tcPr>
          <w:p w14:paraId="2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Лицензия Банка России:  есть</w:t>
            </w:r>
          </w:p>
        </w:tc>
      </w:tr>
      <w:tr>
        <w:trPr>
          <w:trHeight w:hRule="atLeast" w:val="840"/>
        </w:trPr>
        <w:tc>
          <w:tcPr>
            <w:tcW w:type="dxa" w:w="3828"/>
            <w:tcBorders>
              <w:top w:color="349737" w:sz="8" w:val="single"/>
              <w:left w:color="349737" w:sz="8" w:val="single"/>
              <w:bottom w:color="349737" w:sz="8" w:val="single"/>
              <w:right w:color="349737" w:sz="8" w:val="single"/>
            </w:tcBorders>
            <w:shd w:fill="auto" w:val="clear"/>
            <w:tcMar>
              <w:top w:type="dxa" w:w="72"/>
              <w:left w:type="dxa" w:w="144"/>
              <w:bottom w:type="dxa" w:w="72"/>
              <w:right w:type="dxa" w:w="144"/>
            </w:tcMar>
            <w:vAlign w:val="center"/>
          </w:tcPr>
          <w:p w14:paraId="2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 системы АСВ</w:t>
            </w:r>
          </w:p>
        </w:tc>
        <w:tc>
          <w:tcPr>
            <w:tcW w:type="dxa" w:w="3402"/>
            <w:tcBorders>
              <w:top w:color="349737" w:sz="8" w:val="single"/>
              <w:left w:color="349737" w:sz="8" w:val="single"/>
              <w:bottom w:color="349737" w:sz="8" w:val="single"/>
              <w:right w:color="349737" w:sz="8" w:val="single"/>
            </w:tcBorders>
            <w:shd w:fill="auto" w:val="clear"/>
            <w:tcMar>
              <w:top w:type="dxa" w:w="72"/>
              <w:left w:type="dxa" w:w="144"/>
              <w:bottom w:type="dxa" w:w="72"/>
              <w:right w:type="dxa" w:w="144"/>
            </w:tcMar>
            <w:vAlign w:val="center"/>
          </w:tcPr>
          <w:p w14:paraId="2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 системы АСВ</w:t>
            </w:r>
          </w:p>
        </w:tc>
        <w:tc>
          <w:tcPr>
            <w:tcW w:type="dxa" w:w="3261"/>
            <w:tcBorders>
              <w:top w:color="349737" w:sz="8" w:val="single"/>
              <w:left w:color="349737" w:sz="8" w:val="single"/>
              <w:bottom w:color="349737" w:sz="8" w:val="single"/>
              <w:right w:color="349737" w:sz="8" w:val="single"/>
            </w:tcBorders>
            <w:shd w:fill="auto" w:val="clear"/>
            <w:tcMar>
              <w:top w:type="dxa" w:w="72"/>
              <w:left w:type="dxa" w:w="144"/>
              <w:bottom w:type="dxa" w:w="72"/>
              <w:right w:type="dxa" w:w="144"/>
            </w:tcMar>
            <w:vAlign w:val="center"/>
          </w:tcPr>
          <w:p w14:paraId="2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 системы АСВ</w:t>
            </w:r>
          </w:p>
        </w:tc>
      </w:tr>
    </w:tbl>
    <w:p w14:paraId="28000000">
      <w:pPr>
        <w:rPr>
          <w:rFonts w:ascii="Times New Roman" w:hAnsi="Times New Roman"/>
          <w:sz w:val="28"/>
        </w:rPr>
      </w:pPr>
    </w:p>
    <w:p w14:paraId="29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Отзывы о работе банков</w:t>
      </w:r>
    </w:p>
    <w:tbl>
      <w:tblPr>
        <w:tblStyle w:val="Style_2"/>
        <w:tblW w:type="auto" w:w="0"/>
        <w:tblInd w:type="dxa" w:w="-849"/>
        <w:tblLayout w:type="fixed"/>
        <w:tblCellMar>
          <w:left w:type="dxa" w:w="0"/>
          <w:right w:type="dxa" w:w="0"/>
        </w:tblCellMar>
      </w:tblPr>
      <w:tblGrid>
        <w:gridCol w:w="3828"/>
        <w:gridCol w:w="3402"/>
        <w:gridCol w:w="3261"/>
      </w:tblGrid>
      <w:tr>
        <w:trPr>
          <w:trHeight w:hRule="atLeast" w:val="902"/>
        </w:trPr>
        <w:tc>
          <w:tcPr>
            <w:tcW w:type="dxa" w:w="3828"/>
            <w:tcBorders>
              <w:top w:color="349737" w:sz="8" w:val="single"/>
              <w:left w:color="349737" w:sz="8" w:val="single"/>
              <w:bottom w:color="349737" w:sz="18" w:val="single"/>
              <w:right w:color="349737" w:sz="8" w:val="single"/>
            </w:tcBorders>
            <w:shd w:fill="auto" w:val="clear"/>
            <w:tcMar>
              <w:top w:type="dxa" w:w="72"/>
              <w:left w:type="dxa" w:w="144"/>
              <w:bottom w:type="dxa" w:w="72"/>
              <w:right w:type="dxa" w:w="144"/>
            </w:tcMar>
          </w:tcPr>
          <w:p w14:paraId="2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«Зима»</w:t>
            </w:r>
          </w:p>
        </w:tc>
        <w:tc>
          <w:tcPr>
            <w:tcW w:type="dxa" w:w="3402"/>
            <w:tcBorders>
              <w:top w:color="349737" w:sz="8" w:val="single"/>
              <w:left w:color="349737" w:sz="8" w:val="single"/>
              <w:bottom w:color="349737" w:sz="18" w:val="single"/>
              <w:right w:color="349737" w:sz="8" w:val="single"/>
            </w:tcBorders>
            <w:shd w:fill="auto" w:val="clear"/>
            <w:tcMar>
              <w:top w:type="dxa" w:w="72"/>
              <w:left w:type="dxa" w:w="144"/>
              <w:bottom w:type="dxa" w:w="72"/>
              <w:right w:type="dxa" w:w="144"/>
            </w:tcMar>
          </w:tcPr>
          <w:p w14:paraId="2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«Открытая дверь»</w:t>
            </w:r>
          </w:p>
        </w:tc>
        <w:tc>
          <w:tcPr>
            <w:tcW w:type="dxa" w:w="3261"/>
            <w:tcBorders>
              <w:top w:color="349737" w:sz="8" w:val="single"/>
              <w:left w:color="349737" w:sz="8" w:val="single"/>
              <w:bottom w:color="349737" w:sz="18" w:val="single"/>
              <w:right w:color="349737" w:sz="8" w:val="single"/>
            </w:tcBorders>
            <w:shd w:fill="auto" w:val="clear"/>
            <w:tcMar>
              <w:top w:type="dxa" w:w="72"/>
              <w:left w:type="dxa" w:w="144"/>
              <w:bottom w:type="dxa" w:w="72"/>
              <w:right w:type="dxa" w:w="144"/>
            </w:tcMar>
          </w:tcPr>
          <w:p w14:paraId="2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«Полюшко»</w:t>
            </w:r>
          </w:p>
        </w:tc>
      </w:tr>
      <w:tr>
        <w:trPr>
          <w:trHeight w:hRule="atLeast" w:val="2977"/>
        </w:trPr>
        <w:tc>
          <w:tcPr>
            <w:tcW w:type="dxa" w:w="3828"/>
            <w:tcBorders>
              <w:top w:color="349737" w:sz="18" w:val="single"/>
              <w:left w:color="349737" w:sz="8" w:val="single"/>
              <w:bottom w:color="349737" w:sz="8" w:val="single"/>
              <w:right w:color="349737" w:sz="8" w:val="single"/>
            </w:tcBorders>
            <w:shd w:fill="auto" w:val="clear"/>
            <w:tcMar>
              <w:top w:type="dxa" w:w="72"/>
              <w:left w:type="dxa" w:w="144"/>
              <w:bottom w:type="dxa" w:w="72"/>
              <w:right w:type="dxa" w:w="144"/>
            </w:tcMar>
            <w:vAlign w:val="center"/>
          </w:tcPr>
          <w:p w14:paraId="2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Необученный персонал отделения</w:t>
            </w:r>
          </w:p>
          <w:p w14:paraId="2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Внимательное отношение к клиентам</w:t>
            </w:r>
          </w:p>
          <w:p w14:paraId="2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Изменяют график платежей, не отвечают на претензии</w:t>
            </w:r>
          </w:p>
          <w:p w14:paraId="3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Банк вымогает дополнительную комиссию</w:t>
            </w:r>
          </w:p>
        </w:tc>
        <w:tc>
          <w:tcPr>
            <w:tcW w:type="dxa" w:w="3402"/>
            <w:tcBorders>
              <w:top w:color="349737" w:sz="18" w:val="single"/>
              <w:left w:color="349737" w:sz="8" w:val="single"/>
              <w:bottom w:color="349737" w:sz="8" w:val="single"/>
              <w:right w:color="349737" w:sz="8" w:val="single"/>
            </w:tcBorders>
            <w:shd w:fill="auto" w:val="clear"/>
            <w:tcMar>
              <w:top w:type="dxa" w:w="72"/>
              <w:left w:type="dxa" w:w="144"/>
              <w:bottom w:type="dxa" w:w="72"/>
              <w:right w:type="dxa" w:w="144"/>
            </w:tcMar>
            <w:vAlign w:val="center"/>
          </w:tcPr>
          <w:p w14:paraId="3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Банк обманывает клиентов при открытии бессрочного счёта «Моя Копилка»</w:t>
            </w:r>
          </w:p>
          <w:p w14:paraId="3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Некачественное обслуживание</w:t>
            </w:r>
          </w:p>
          <w:p w14:paraId="3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Иногда не выдает деньги по предварительному заказу</w:t>
            </w:r>
          </w:p>
        </w:tc>
        <w:tc>
          <w:tcPr>
            <w:tcW w:type="dxa" w:w="3261"/>
            <w:tcBorders>
              <w:top w:color="349737" w:sz="18" w:val="single"/>
              <w:left w:color="349737" w:sz="8" w:val="single"/>
              <w:bottom w:color="349737" w:sz="8" w:val="single"/>
              <w:right w:color="349737" w:sz="8" w:val="single"/>
            </w:tcBorders>
            <w:shd w:fill="auto" w:val="clear"/>
            <w:tcMar>
              <w:top w:type="dxa" w:w="72"/>
              <w:left w:type="dxa" w:w="144"/>
              <w:bottom w:type="dxa" w:w="72"/>
              <w:right w:type="dxa" w:w="144"/>
            </w:tcMar>
            <w:vAlign w:val="center"/>
          </w:tcPr>
          <w:p w14:paraId="3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Усложненный регламент оформления банковских карт</w:t>
            </w:r>
          </w:p>
          <w:p w14:paraId="3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Иногда возникают сложности в подключении к интернет-банку</w:t>
            </w:r>
          </w:p>
          <w:p w14:paraId="3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Вежливое отношение к вкладчику при обращении</w:t>
            </w:r>
          </w:p>
        </w:tc>
      </w:tr>
    </w:tbl>
    <w:p w14:paraId="37000000">
      <w:pPr>
        <w:rPr>
          <w:rFonts w:ascii="Times New Roman" w:hAnsi="Times New Roman"/>
        </w:rPr>
      </w:pPr>
    </w:p>
    <w:p w14:paraId="38000000">
      <w:pPr>
        <w:rPr>
          <w:rFonts w:ascii="Times New Roman" w:hAnsi="Times New Roman"/>
        </w:rPr>
      </w:pPr>
    </w:p>
    <w:p w14:paraId="39000000">
      <w:pPr>
        <w:rPr>
          <w:rFonts w:ascii="Times New Roman" w:hAnsi="Times New Roman"/>
        </w:rPr>
      </w:pPr>
    </w:p>
    <w:p w14:paraId="3A000000">
      <w:pPr>
        <w:rPr>
          <w:rFonts w:ascii="Times New Roman" w:hAnsi="Times New Roman"/>
        </w:rPr>
      </w:pPr>
    </w:p>
    <w:p w14:paraId="3B000000">
      <w:pPr>
        <w:rPr>
          <w:rFonts w:ascii="Times New Roman" w:hAnsi="Times New Roman"/>
        </w:rPr>
      </w:pPr>
    </w:p>
    <w:p w14:paraId="3C000000">
      <w:pPr>
        <w:rPr>
          <w:rFonts w:ascii="Times New Roman" w:hAnsi="Times New Roman"/>
        </w:rPr>
      </w:pPr>
    </w:p>
    <w:p w14:paraId="3D000000">
      <w:pPr>
        <w:rPr>
          <w:rFonts w:ascii="Times New Roman" w:hAnsi="Times New Roman"/>
        </w:rPr>
      </w:pPr>
    </w:p>
    <w:p w14:paraId="3E000000">
      <w:pPr>
        <w:rPr>
          <w:rFonts w:ascii="Times New Roman" w:hAnsi="Times New Roman"/>
        </w:rPr>
      </w:pPr>
    </w:p>
    <w:p w14:paraId="3F000000">
      <w:pPr>
        <w:rPr>
          <w:rFonts w:ascii="Times New Roman" w:hAnsi="Times New Roman"/>
        </w:rPr>
      </w:pPr>
    </w:p>
    <w:p w14:paraId="40000000">
      <w:pPr>
        <w:rPr>
          <w:rFonts w:ascii="Times New Roman" w:hAnsi="Times New Roman"/>
        </w:rPr>
      </w:pPr>
    </w:p>
    <w:p w14:paraId="41000000">
      <w:pPr>
        <w:rPr>
          <w:rFonts w:ascii="Times New Roman" w:hAnsi="Times New Roman"/>
        </w:rPr>
      </w:pPr>
    </w:p>
    <w:sectPr>
      <w:pgSz w:h="16838" w:orient="portrait" w:w="11906"/>
      <w:pgMar w:bottom="284" w:footer="708" w:gutter="0" w:header="708" w:left="1701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•"/>
      <w:lvlJc w:val="left"/>
      <w:pPr>
        <w:tabs>
          <w:tab w:leader="none" w:pos="720" w:val="left"/>
        </w:tabs>
        <w:ind w:hanging="360" w:left="720"/>
      </w:pPr>
      <w:rPr>
        <w:rFonts w:ascii="Arial" w:hAnsi="Arial"/>
      </w:rPr>
    </w:lvl>
    <w:lvl w:ilvl="1">
      <w:start w:val="1"/>
      <w:numFmt w:val="bullet"/>
      <w:lvlText w:val="•"/>
      <w:lvlJc w:val="left"/>
      <w:pPr>
        <w:tabs>
          <w:tab w:leader="none" w:pos="1440" w:val="left"/>
        </w:tabs>
        <w:ind w:hanging="360" w:left="1440"/>
      </w:pPr>
      <w:rPr>
        <w:rFonts w:ascii="Arial" w:hAnsi="Arial"/>
      </w:rPr>
    </w:lvl>
    <w:lvl w:ilvl="2">
      <w:start w:val="1"/>
      <w:numFmt w:val="bullet"/>
      <w:lvlText w:val="•"/>
      <w:lvlJc w:val="left"/>
      <w:pPr>
        <w:tabs>
          <w:tab w:leader="none" w:pos="2160" w:val="left"/>
        </w:tabs>
        <w:ind w:hanging="360" w:left="216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tabs>
          <w:tab w:leader="none" w:pos="2880" w:val="left"/>
        </w:tabs>
        <w:ind w:hanging="360" w:left="288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leader="none" w:pos="3600" w:val="left"/>
        </w:tabs>
        <w:ind w:hanging="360" w:left="360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leader="none" w:pos="4320" w:val="left"/>
        </w:tabs>
        <w:ind w:hanging="360" w:left="432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leader="none" w:pos="5040" w:val="left"/>
        </w:tabs>
        <w:ind w:hanging="360" w:left="504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leader="none" w:pos="5760" w:val="left"/>
        </w:tabs>
        <w:ind w:hanging="360" w:left="57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leader="none" w:pos="6480" w:val="left"/>
        </w:tabs>
        <w:ind w:hanging="360" w:left="6480"/>
      </w:pPr>
      <w:rPr>
        <w:rFonts w:ascii="Arial" w:hAnsi="Arial"/>
      </w:rPr>
    </w:lvl>
  </w:abstractNum>
  <w:abstractNum w:abstractNumId="1">
    <w:lvl w:ilvl="0">
      <w:start w:val="1"/>
      <w:numFmt w:val="bullet"/>
      <w:lvlText w:val="•"/>
      <w:lvlJc w:val="left"/>
      <w:pPr>
        <w:tabs>
          <w:tab w:leader="none" w:pos="720" w:val="left"/>
        </w:tabs>
        <w:ind w:hanging="360" w:left="720"/>
      </w:pPr>
      <w:rPr>
        <w:rFonts w:ascii="Arial" w:hAnsi="Arial"/>
      </w:rPr>
    </w:lvl>
    <w:lvl w:ilvl="1">
      <w:start w:val="1"/>
      <w:numFmt w:val="bullet"/>
      <w:lvlText w:val="•"/>
      <w:lvlJc w:val="left"/>
      <w:pPr>
        <w:tabs>
          <w:tab w:leader="none" w:pos="1440" w:val="left"/>
        </w:tabs>
        <w:ind w:hanging="360" w:left="1440"/>
      </w:pPr>
      <w:rPr>
        <w:rFonts w:ascii="Arial" w:hAnsi="Arial"/>
      </w:rPr>
    </w:lvl>
    <w:lvl w:ilvl="2">
      <w:start w:val="1"/>
      <w:numFmt w:val="bullet"/>
      <w:lvlText w:val="•"/>
      <w:lvlJc w:val="left"/>
      <w:pPr>
        <w:tabs>
          <w:tab w:leader="none" w:pos="2160" w:val="left"/>
        </w:tabs>
        <w:ind w:hanging="360" w:left="216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tabs>
          <w:tab w:leader="none" w:pos="2880" w:val="left"/>
        </w:tabs>
        <w:ind w:hanging="360" w:left="288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leader="none" w:pos="3600" w:val="left"/>
        </w:tabs>
        <w:ind w:hanging="360" w:left="360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leader="none" w:pos="4320" w:val="left"/>
        </w:tabs>
        <w:ind w:hanging="360" w:left="432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leader="none" w:pos="5040" w:val="left"/>
        </w:tabs>
        <w:ind w:hanging="360" w:left="504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leader="none" w:pos="5760" w:val="left"/>
        </w:tabs>
        <w:ind w:hanging="360" w:left="57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leader="none" w:pos="6480" w:val="left"/>
        </w:tabs>
        <w:ind w:hanging="360" w:left="6480"/>
      </w:pPr>
      <w:rPr>
        <w:rFonts w:ascii="Arial" w:hAnsi="Arial"/>
      </w:rPr>
    </w:lvl>
  </w:abstractNum>
  <w:abstractNum w:abstractNumId="2">
    <w:lvl w:ilvl="0">
      <w:start w:val="1"/>
      <w:numFmt w:val="bullet"/>
      <w:lvlText w:val="•"/>
      <w:lvlJc w:val="left"/>
      <w:pPr>
        <w:tabs>
          <w:tab w:leader="none" w:pos="720" w:val="left"/>
        </w:tabs>
        <w:ind w:hanging="360" w:left="720"/>
      </w:pPr>
      <w:rPr>
        <w:rFonts w:ascii="Arial" w:hAnsi="Arial"/>
      </w:rPr>
    </w:lvl>
    <w:lvl w:ilvl="1">
      <w:start w:val="1"/>
      <w:numFmt w:val="bullet"/>
      <w:lvlText w:val="•"/>
      <w:lvlJc w:val="left"/>
      <w:pPr>
        <w:tabs>
          <w:tab w:leader="none" w:pos="1440" w:val="left"/>
        </w:tabs>
        <w:ind w:hanging="360" w:left="1440"/>
      </w:pPr>
      <w:rPr>
        <w:rFonts w:ascii="Arial" w:hAnsi="Arial"/>
      </w:rPr>
    </w:lvl>
    <w:lvl w:ilvl="2">
      <w:start w:val="1"/>
      <w:numFmt w:val="bullet"/>
      <w:lvlText w:val="•"/>
      <w:lvlJc w:val="left"/>
      <w:pPr>
        <w:tabs>
          <w:tab w:leader="none" w:pos="2160" w:val="left"/>
        </w:tabs>
        <w:ind w:hanging="360" w:left="216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tabs>
          <w:tab w:leader="none" w:pos="2880" w:val="left"/>
        </w:tabs>
        <w:ind w:hanging="360" w:left="288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leader="none" w:pos="3600" w:val="left"/>
        </w:tabs>
        <w:ind w:hanging="360" w:left="360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leader="none" w:pos="4320" w:val="left"/>
        </w:tabs>
        <w:ind w:hanging="360" w:left="432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leader="none" w:pos="5040" w:val="left"/>
        </w:tabs>
        <w:ind w:hanging="360" w:left="504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leader="none" w:pos="5760" w:val="left"/>
        </w:tabs>
        <w:ind w:hanging="360" w:left="57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leader="none" w:pos="6480" w:val="left"/>
        </w:tabs>
        <w:ind w:hanging="360" w:left="6480"/>
      </w:pPr>
      <w:rPr>
        <w:rFonts w:ascii="Arial" w:hAnsi="Aria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Balloon Text"/>
    <w:basedOn w:val="Style_3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3_ch"/>
    <w:link w:val="Style_21"/>
    <w:rPr>
      <w:rFonts w:ascii="Tahoma" w:hAnsi="Tahoma"/>
      <w:sz w:val="16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media/1.png" Type="http://schemas.openxmlformats.org/officeDocument/2006/relationships/image"/>
  <Relationship Id="rId10" Target="numbering.xml" Type="http://schemas.openxmlformats.org/officeDocument/2006/relationships/numbering"/>
  <Relationship Id="rId2" Target="media/2.jpeg" Type="http://schemas.openxmlformats.org/officeDocument/2006/relationships/image"/>
  <Relationship Id="rId3" Target="media/3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2024-04-10T10:05:45Z</dcterms:modified>
</cp:coreProperties>
</file>